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leftChars="0" w:right="0"/>
        <w:jc w:val="center"/>
        <w:textAlignment w:val="auto"/>
        <w:rPr>
          <w:rFonts w:hint="eastAsia" w:ascii="方正小标宋简体" w:eastAsia="方正小标宋简体"/>
          <w:color w:val="auto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??_GB2312"/>
          <w:color w:val="auto"/>
          <w:spacing w:val="0"/>
          <w:w w:val="100"/>
          <w:kern w:val="0"/>
          <w:sz w:val="44"/>
          <w:szCs w:val="44"/>
          <w:lang w:val="en-US" w:eastAsia="zh-CN"/>
        </w:rPr>
        <w:t>邹平市</w:t>
      </w:r>
      <w:r>
        <w:rPr>
          <w:rFonts w:hint="eastAsia" w:ascii="方正小标宋简体" w:hAnsi="仿宋" w:eastAsia="方正小标宋简体" w:cs="??_GB2312"/>
          <w:color w:val="auto"/>
          <w:spacing w:val="0"/>
          <w:w w:val="100"/>
          <w:kern w:val="0"/>
          <w:sz w:val="44"/>
          <w:szCs w:val="44"/>
        </w:rPr>
        <w:t>博士</w:t>
      </w:r>
      <w:r>
        <w:rPr>
          <w:rFonts w:hint="eastAsia" w:ascii="方正小标宋简体" w:hAnsi="仿宋" w:eastAsia="方正小标宋简体" w:cs="??_GB2312"/>
          <w:color w:val="auto"/>
          <w:spacing w:val="0"/>
          <w:w w:val="100"/>
          <w:kern w:val="0"/>
          <w:sz w:val="44"/>
          <w:szCs w:val="44"/>
          <w:lang w:eastAsia="zh-CN"/>
        </w:rPr>
        <w:t>生活</w:t>
      </w:r>
      <w:r>
        <w:rPr>
          <w:rFonts w:hint="eastAsia" w:ascii="方正小标宋简体" w:eastAsia="方正小标宋简体"/>
          <w:color w:val="auto"/>
          <w:spacing w:val="0"/>
          <w:w w:val="100"/>
          <w:sz w:val="44"/>
          <w:szCs w:val="44"/>
        </w:rPr>
        <w:t>补贴实施细则</w:t>
      </w:r>
      <w:r>
        <w:rPr>
          <w:rFonts w:hint="eastAsia" w:ascii="方正小标宋简体" w:eastAsia="方正小标宋简体"/>
          <w:color w:val="auto"/>
          <w:spacing w:val="0"/>
          <w:w w:val="100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leftChars="0" w:right="0"/>
        <w:textAlignment w:val="auto"/>
        <w:rPr>
          <w:rFonts w:hint="eastAsia"/>
          <w:color w:val="auto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leftChars="0" w:right="0" w:firstLine="0" w:firstLineChars="0"/>
        <w:textAlignment w:val="auto"/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　　第一条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补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助对象及条件</w:t>
      </w:r>
    </w:p>
    <w:p>
      <w:pPr>
        <w:keepNext w:val="0"/>
        <w:keepLines w:val="0"/>
        <w:pageBreakBefore w:val="0"/>
        <w:widowControl w:val="0"/>
        <w:tabs>
          <w:tab w:val="left" w:pos="13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本细则补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 xml:space="preserve">助对象是从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3"/>
          <w:szCs w:val="33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3"/>
          <w:szCs w:val="33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日起，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首次到邹平市各类企业以及机关事业单位（因工作需要，由组织部门派遣的除外）全职就业（签订5年及以上劳动合同，在邹正常缴纳社会保险）的博士；机关事业单位、企业统一组织与高校、科研院所联合培养的博士研究生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取得教育部留学服务中心认证的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具有博士学历学位的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留学归国人员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且符合下列条件的人员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eastAsia="zh-CN"/>
        </w:rPr>
        <w:t>　　（一）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</w:rPr>
        <w:t>具有博士学历学位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eastAsia="zh-CN"/>
        </w:rPr>
        <w:t>（含教育部认证的海外留学学历）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（二）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首次来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邹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，指之前未曾在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邹平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就业创业及缴纳社会保险。申请生活补助起始时间不得早于实际来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邹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就业时间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　　（三）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  <w:t>申报人与用人单位签订劳动（聘用）合同，工作单位是企业的，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需签订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>5年及以上劳动合同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>　　（四）在我市正常缴纳社会保险（需含养老保险）。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  <w:t>用人单位注册地、申请人社保缴纳地、个税缴纳地均在邹平市内，所全职服务的用人单位、社保缴纳单位和个税缴纳单位应保持一致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  <w:t>不含断缴、个人缴纳情况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　　（五）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  <w:t>在邹平市全职工作，实际工作地址原则上在邹平市内；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　　（六）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</w:rPr>
        <w:t>遵纪守法、诚实守信</w:t>
      </w:r>
      <w:r>
        <w:rPr>
          <w:rFonts w:hint="eastAsia" w:ascii="仿宋_GB2312" w:hAnsi="仿宋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0" w:firstLineChars="0"/>
        <w:textAlignment w:val="auto"/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　　（七）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机关事业单位、企业统一组织与高校、科研院所联合培养的博士研究生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除具备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>1、3、4、5、6等条件外，还需是单位与高校、科研院所联合培养，并且入学前、毕业后一直在我市机关、企事业单位工作。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54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以下情形人员，按有关规定享受补助。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（一）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补助时限内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助对象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在邹平市内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其他符合条件的企业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或机关事业单位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就业的，可继续享受生活补助，断档期不计入补助时限，由现用人单位申报，须提供原单位劳动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（聘用）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合同，前后累计补助时限最长不超过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（二）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申请人属于劳务派遣人员的，由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劳务派遣公司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进行审核申报，申报时需同时提供用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人单位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与劳务派遣公司签订的有效期内劳务派遣合同。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本细则所称企业，是指在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邹平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行政区域内依法注册，具备独立法人资格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实行独立核算的企业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（包括企业化运营的民办非企业、新型农业经营主体）。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0" w:firstLineChars="0"/>
        <w:textAlignment w:val="auto"/>
        <w:rPr>
          <w:rFonts w:hint="eastAsia" w:ascii="黑体" w:hAnsi="黑体" w:eastAsia="黑体" w:cs="宋体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pacing w:val="0"/>
          <w:w w:val="100"/>
          <w:kern w:val="0"/>
          <w:sz w:val="32"/>
          <w:szCs w:val="32"/>
          <w:lang w:eastAsia="zh-CN"/>
        </w:rPr>
        <w:t>　　第二条</w:t>
      </w:r>
      <w:r>
        <w:rPr>
          <w:rFonts w:hint="eastAsia" w:ascii="黑体" w:hAnsi="黑体" w:eastAsia="黑体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color w:val="auto"/>
          <w:spacing w:val="0"/>
          <w:w w:val="100"/>
          <w:kern w:val="0"/>
          <w:sz w:val="32"/>
          <w:szCs w:val="32"/>
          <w:lang w:eastAsia="zh-CN"/>
        </w:rPr>
        <w:t>政</w:t>
      </w:r>
      <w:r>
        <w:rPr>
          <w:rFonts w:hint="eastAsia" w:ascii="黑体" w:hAnsi="黑体" w:eastAsia="黑体" w:cs="宋体"/>
          <w:color w:val="auto"/>
          <w:spacing w:val="0"/>
          <w:w w:val="100"/>
          <w:kern w:val="0"/>
          <w:sz w:val="32"/>
          <w:szCs w:val="32"/>
        </w:rPr>
        <w:t>策类型（“免申即享”或依申请享受）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eastAsia="zh-CN"/>
        </w:rPr>
        <w:t>　　依申请享受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leftChars="0" w:right="0"/>
        <w:textAlignment w:val="auto"/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eastAsia="zh-CN"/>
        </w:rPr>
        <w:t>　　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 xml:space="preserve">第三条 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补助标准及期限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leftChars="0" w:right="0"/>
        <w:textAlignment w:val="auto"/>
        <w:rPr>
          <w:rFonts w:hint="default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每人每月7500元，连续发放5年。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</w:rPr>
        <w:t>机关事业单位、企业统一组织与高校、科研院所联合培养的博士研究生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eastAsia="zh-CN"/>
        </w:rPr>
        <w:t>，按以上标准的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lang w:val="en-US" w:eastAsia="zh-CN"/>
        </w:rPr>
        <w:t>50%给予生活补贴。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Chars="0" w:right="0" w:rightChars="0"/>
        <w:textAlignment w:val="auto"/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 xml:space="preserve">第四条 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申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报方式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line="54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</w:rPr>
        <w:t>生活补助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lang w:eastAsia="zh-CN"/>
        </w:rPr>
        <w:t>采用定期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</w:rPr>
        <w:t>集中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lang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</w:rPr>
        <w:t>发放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lang w:eastAsia="zh-CN"/>
        </w:rPr>
        <w:t>的方式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lang w:eastAsia="zh-CN"/>
        </w:rPr>
        <w:t>具体申报时间以公告为准，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w w:val="100"/>
          <w:lang w:eastAsia="zh-CN"/>
        </w:rPr>
        <w:t>申报前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</w:rPr>
        <w:t>已经离职的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</w:rPr>
        <w:t>不再享受年度生活补助。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rightChars="0"/>
        <w:textAlignment w:val="auto"/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  <w:lang w:val="en-US" w:eastAsia="zh-CN"/>
        </w:rPr>
        <w:t xml:space="preserve">第五条 </w:t>
      </w:r>
      <w:r>
        <w:rPr>
          <w:rFonts w:hint="eastAsia" w:ascii="黑体" w:hAnsi="黑体" w:eastAsia="黑体" w:cs="黑体"/>
          <w:color w:val="auto"/>
          <w:spacing w:val="0"/>
          <w:w w:val="100"/>
          <w:sz w:val="32"/>
          <w:szCs w:val="32"/>
        </w:rPr>
        <w:t>申报材料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（一）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本人有效期内的身份证；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（二）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国内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博士毕业生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教育部学历证书电子注册备案 表》、毕业证、 学位证；留学归国人员提供教育部留学服务中心出具的《国外学历学位认证书 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（三）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到企业就业的，提供与企业签订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的5年及以上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劳动合同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到事业单位工作的，提供与单位签订的聘用合同；到机关工作的，提供公务员录用相关材料。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　　（四）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</w:rPr>
        <w:t>机关事业单位、企业统一组织与高校、科研院所联合培养的博士研究生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eastAsia="zh-CN"/>
        </w:rPr>
        <w:t>除提供以上材料外，还需提供单位与高校、科研院所联合培养协议及入学前与单位签订的劳动（聘用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sz w:val="32"/>
          <w:szCs w:val="32"/>
          <w:lang w:val="en-US" w:eastAsia="zh-CN"/>
        </w:rPr>
        <w:t>)合同。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未在规定时限内申报的，视为主动放弃申请资格。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Chars="0" w:right="0" w:rightChars="0"/>
        <w:textAlignment w:val="auto"/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 xml:space="preserve">第六条 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审核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市人社部门在申报受理截止后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对申报材料和人员信息严格审查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逐一核实。审核无误后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邹平人才网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进行公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6466205</wp:posOffset>
                </wp:positionH>
                <wp:positionV relativeFrom="paragraph">
                  <wp:posOffset>942340</wp:posOffset>
                </wp:positionV>
                <wp:extent cx="62865" cy="1752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08" w:lineRule="auto"/>
                              <w:ind w:left="20" w:right="0" w:firstLine="0"/>
                              <w:jc w:val="left"/>
                              <w:rPr>
                                <w:rFonts w:ascii="宋体" w:hAnsi="宋体" w:eastAsia="宋体" w:cs="宋体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/>
                                <w:color w:val="1F2326"/>
                                <w:spacing w:val="-51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宋体"/>
                                <w:color w:val="1F2326"/>
                                <w:spacing w:val="-45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宋体"/>
                                <w:color w:val="1F2326"/>
                                <w:sz w:val="11"/>
                              </w:rPr>
                              <w:t>u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9.15pt;margin-top:74.2pt;height:13.8pt;width:4.95pt;mso-position-horizontal-relative:page;z-index:251659264;mso-width-relative:page;mso-height-relative:page;" filled="f" stroked="f" coordsize="21600,21600" o:gfxdata="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ZQ0VnYAAAADQEAAA8AAAAAAAAAAQAgAAAAIgAAAGRycy9kb3ducmV2&#10;LnhtbFBLAQIUABQAAAAIAIdO4kBK6j9ywwEAAH4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0" w:line="108" w:lineRule="auto"/>
                        <w:ind w:left="20" w:right="0" w:firstLine="0"/>
                        <w:jc w:val="left"/>
                        <w:rPr>
                          <w:rFonts w:ascii="宋体" w:hAnsi="宋体" w:eastAsia="宋体" w:cs="宋体"/>
                          <w:sz w:val="11"/>
                          <w:szCs w:val="11"/>
                        </w:rPr>
                      </w:pPr>
                      <w:r>
                        <w:rPr>
                          <w:rFonts w:ascii="宋体"/>
                          <w:color w:val="1F2326"/>
                          <w:spacing w:val="-51"/>
                          <w:sz w:val="11"/>
                        </w:rPr>
                        <w:t>F</w:t>
                      </w:r>
                      <w:r>
                        <w:rPr>
                          <w:rFonts w:ascii="宋体"/>
                          <w:color w:val="1F2326"/>
                          <w:spacing w:val="-45"/>
                          <w:sz w:val="11"/>
                        </w:rPr>
                        <w:t>h</w:t>
                      </w:r>
                      <w:r>
                        <w:rPr>
                          <w:rFonts w:ascii="宋体"/>
                          <w:color w:val="1F2326"/>
                          <w:sz w:val="11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公示时间 5个工作日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，公示无异议的，报市委人才工作领导小组办公室。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Chars="0" w:right="0" w:rightChars="0"/>
        <w:textAlignment w:val="auto"/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 xml:space="preserve">第七条 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资金拨付与发放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市委人才工作领导小组根据申请的人数、金额，申请补助资金，将资金拨付申请人社保卡金融账户。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Chars="0" w:right="0" w:rightChars="0"/>
        <w:textAlignment w:val="auto"/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 xml:space="preserve">第八条 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责任追究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39"/>
        </w:tabs>
        <w:kinsoku/>
        <w:wordWrap/>
        <w:overflowPunct/>
        <w:topLinePunct w:val="0"/>
        <w:bidi w:val="0"/>
        <w:spacing w:before="0" w:line="540" w:lineRule="exact"/>
        <w:ind w:left="0" w:leftChars="0" w:right="0" w:firstLine="0" w:firstLineChars="0"/>
        <w:jc w:val="left"/>
        <w:textAlignment w:val="auto"/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对补助资金，各级、各单位要专款专用，不得截留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挤占和挪用。建立失信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黑名单”制度。对弄虚作假冒领或者套取补助的单位和个人，严肃查处，追缴所发资金。涉嫌犯罪的，依法移送司法机关处理。对因玩忽职守、审核把关不严造成不良影响的相关部门工作人员，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依法依规严肃处理。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leftChars="0" w:right="0" w:firstLine="0" w:firstLineChars="0"/>
        <w:textAlignment w:val="auto"/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　　第九条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 xml:space="preserve"> 责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任部门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leftChars="0" w:right="0" w:firstLine="0" w:firstLineChars="0"/>
        <w:textAlignment w:val="auto"/>
        <w:rPr>
          <w:rFonts w:hint="eastAsia" w:ascii="仿宋_GB2312" w:eastAsia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</w:rPr>
        <w:t>邹平市人力资源和社会保障局  联系电话：</w:t>
      </w: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  <w:lang w:val="en-US" w:eastAsia="zh-CN"/>
        </w:rPr>
        <w:t>0543-2182001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leftChars="0" w:right="0" w:firstLine="0" w:firstLineChars="0"/>
        <w:textAlignment w:val="auto"/>
        <w:rPr>
          <w:rFonts w:hint="eastAsia" w:ascii="仿宋_GB2312" w:eastAsia="仿宋_GB2312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leftChars="0" w:right="0"/>
        <w:jc w:val="center"/>
        <w:textAlignment w:val="auto"/>
        <w:rPr>
          <w:rFonts w:hint="eastAsia" w:ascii="方正小标宋简体" w:hAnsi="仿宋" w:eastAsia="方正小标宋简体" w:cs="??_GB2312"/>
          <w:color w:val="auto"/>
          <w:spacing w:val="0"/>
          <w:w w:val="1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ZTc1MDRhYWNhYmU3OTU3OWFlOGYyYjlkZmVhZTUifQ=="/>
  </w:docVars>
  <w:rsids>
    <w:rsidRoot w:val="05A32335"/>
    <w:rsid w:val="05A32335"/>
    <w:rsid w:val="7FA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2"/>
      <w:ind w:left="133"/>
    </w:pPr>
    <w:rPr>
      <w:rFonts w:ascii="宋体" w:hAnsi="宋体" w:eastAsia="宋体"/>
      <w:sz w:val="33"/>
      <w:szCs w:val="33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1503</Characters>
  <Lines>0</Lines>
  <Paragraphs>0</Paragraphs>
  <TotalTime>0</TotalTime>
  <ScaleCrop>false</ScaleCrop>
  <LinksUpToDate>false</LinksUpToDate>
  <CharactersWithSpaces>1590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2022-10-09T07:06:00Z</dcterms:created>
  <dc:creator>小小洁子~</dc:creator>
  <cp:lastModifiedBy>Administrator</cp:lastModifiedBy>
  <dcterms:modified xsi:type="dcterms:W3CDTF">2023-01-31T06:57:23Z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03459632BD804DC392E8B633A8E9C4A4</vt:lpwstr>
  </property>
</Properties>
</file>