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spacing w:line="540" w:lineRule="exact"/>
        <w:ind w:left="0" w:leftChars="0" w:right="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邹平市</w:t>
      </w:r>
      <w:r>
        <w:rPr>
          <w:rFonts w:hint="eastAsia" w:ascii="方正小标宋简体" w:hAnsi="方正小标宋简体" w:eastAsia="方正小标宋简体" w:cs="方正小标宋简体"/>
          <w:b w:val="0"/>
          <w:bCs w:val="0"/>
          <w:color w:val="auto"/>
          <w:sz w:val="44"/>
          <w:szCs w:val="44"/>
        </w:rPr>
        <w:t>大学生到企业就业和自主创业发放</w:t>
      </w:r>
    </w:p>
    <w:p>
      <w:pPr>
        <w:pageBreakBefore w:val="0"/>
        <w:widowControl w:val="0"/>
        <w:kinsoku/>
        <w:wordWrap/>
        <w:overflowPunct/>
        <w:topLinePunct w:val="0"/>
        <w:bidi w:val="0"/>
        <w:spacing w:line="540" w:lineRule="exact"/>
        <w:ind w:left="0" w:leftChars="0" w:right="0"/>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生活补助实施细则</w:t>
      </w: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lang w:val="en-US" w:eastAsia="zh-CN"/>
        </w:rPr>
        <w:t>试行</w:t>
      </w:r>
      <w:r>
        <w:rPr>
          <w:rFonts w:hint="eastAsia" w:ascii="方正小标宋简体" w:hAnsi="方正小标宋简体" w:eastAsia="方正小标宋简体" w:cs="方正小标宋简体"/>
          <w:b w:val="0"/>
          <w:bCs w:val="0"/>
          <w:color w:val="auto"/>
          <w:sz w:val="44"/>
          <w:szCs w:val="44"/>
          <w:lang w:eastAsia="zh-CN"/>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40" w:lineRule="exact"/>
        <w:ind w:left="0" w:leftChars="0" w:right="0"/>
        <w:rPr>
          <w:color w:val="auto"/>
          <w:sz w:val="28"/>
          <w:szCs w:val="28"/>
          <w:u w:val="none"/>
        </w:rPr>
      </w:pPr>
    </w:p>
    <w:p>
      <w:pPr>
        <w:pStyle w:val="6"/>
        <w:pageBreakBefore w:val="0"/>
        <w:widowControl w:val="0"/>
        <w:numPr>
          <w:ilvl w:val="0"/>
          <w:numId w:val="0"/>
        </w:numPr>
        <w:kinsoku/>
        <w:wordWrap/>
        <w:overflowPunct/>
        <w:topLinePunct w:val="0"/>
        <w:bidi w:val="0"/>
        <w:spacing w:line="540" w:lineRule="exact"/>
        <w:ind w:left="0" w:leftChars="0" w:right="0"/>
        <w:rPr>
          <w:rFonts w:hint="eastAsia" w:ascii="黑体" w:hAnsi="黑体" w:eastAsia="黑体" w:cs="黑体"/>
          <w:color w:val="auto"/>
          <w:sz w:val="32"/>
          <w:szCs w:val="32"/>
          <w:u w:val="none"/>
        </w:rPr>
      </w:pPr>
      <w:r>
        <w:rPr>
          <w:rFonts w:hint="eastAsia" w:ascii="仿宋_GB2312" w:hAnsi="仿宋_GB2312" w:eastAsia="仿宋_GB2312" w:cs="仿宋_GB2312"/>
          <w:color w:val="auto"/>
          <w:sz w:val="32"/>
          <w:szCs w:val="32"/>
          <w:u w:val="none"/>
          <w:lang w:eastAsia="zh-CN"/>
        </w:rPr>
        <w:t>　　</w:t>
      </w:r>
      <w:r>
        <w:rPr>
          <w:rFonts w:hint="eastAsia" w:ascii="黑体" w:hAnsi="黑体" w:eastAsia="黑体" w:cs="黑体"/>
          <w:color w:val="auto"/>
          <w:sz w:val="32"/>
          <w:szCs w:val="32"/>
          <w:lang w:val="en-US" w:eastAsia="zh-CN"/>
        </w:rPr>
        <w:t xml:space="preserve">第一条 </w:t>
      </w:r>
      <w:r>
        <w:rPr>
          <w:rFonts w:hint="eastAsia" w:ascii="黑体" w:hAnsi="黑体" w:eastAsia="黑体" w:cs="黑体"/>
          <w:color w:val="auto"/>
          <w:sz w:val="32"/>
          <w:szCs w:val="32"/>
        </w:rPr>
        <w:t>补助对象及条件</w:t>
      </w:r>
    </w:p>
    <w:p>
      <w:pPr>
        <w:pStyle w:val="6"/>
        <w:pageBreakBefore w:val="0"/>
        <w:widowControl w:val="0"/>
        <w:numPr>
          <w:ilvl w:val="0"/>
          <w:numId w:val="0"/>
        </w:numPr>
        <w:kinsoku/>
        <w:wordWrap/>
        <w:overflowPunct/>
        <w:topLinePunct w:val="0"/>
        <w:bidi w:val="0"/>
        <w:spacing w:line="540" w:lineRule="exact"/>
        <w:ind w:left="0" w:leftChars="0" w:right="0" w:firstLine="0" w:firstLineChars="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　　</w:t>
      </w:r>
      <w:r>
        <w:rPr>
          <w:rFonts w:hint="eastAsia" w:ascii="仿宋_GB2312" w:hAnsi="仿宋_GB2312" w:eastAsia="仿宋_GB2312" w:cs="仿宋_GB2312"/>
          <w:color w:val="auto"/>
          <w:sz w:val="32"/>
          <w:szCs w:val="32"/>
          <w:u w:val="none"/>
        </w:rPr>
        <w:t>本细则补助对象是从</w:t>
      </w:r>
      <w:r>
        <w:rPr>
          <w:rFonts w:hint="eastAsia" w:ascii="仿宋_GB2312" w:hAnsi="仿宋_GB2312" w:eastAsia="仿宋_GB2312" w:cs="仿宋_GB2312"/>
          <w:color w:val="auto"/>
          <w:sz w:val="32"/>
          <w:szCs w:val="32"/>
          <w:u w:val="none"/>
          <w:lang w:val="en-US" w:eastAsia="zh-CN"/>
        </w:rPr>
        <w:t>2022</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日起，首次来我市就业或者</w:t>
      </w:r>
      <w:r>
        <w:rPr>
          <w:rFonts w:hint="eastAsia" w:ascii="仿宋_GB2312" w:hAnsi="仿宋_GB2312" w:eastAsia="仿宋_GB2312" w:cs="仿宋_GB2312"/>
          <w:color w:val="auto"/>
          <w:sz w:val="32"/>
          <w:szCs w:val="32"/>
          <w:u w:val="none"/>
          <w:lang w:eastAsia="zh-CN"/>
        </w:rPr>
        <w:t>自主</w:t>
      </w:r>
      <w:r>
        <w:rPr>
          <w:rFonts w:hint="eastAsia" w:ascii="仿宋_GB2312" w:hAnsi="仿宋_GB2312" w:eastAsia="仿宋_GB2312" w:cs="仿宋_GB2312"/>
          <w:color w:val="auto"/>
          <w:sz w:val="32"/>
          <w:szCs w:val="32"/>
          <w:u w:val="none"/>
        </w:rPr>
        <w:t>创办企业的国内普通高校全日制硕士研究生、本科毕业生</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取得教育部留学服务中心认证的本科</w:t>
      </w:r>
      <w:r>
        <w:rPr>
          <w:rFonts w:hint="eastAsia" w:ascii="仿宋_GB2312" w:hAnsi="仿宋_GB2312" w:eastAsia="仿宋_GB2312" w:cs="仿宋_GB2312"/>
          <w:color w:val="auto"/>
          <w:sz w:val="32"/>
          <w:szCs w:val="32"/>
          <w:u w:val="none"/>
          <w:lang w:val="en-US" w:eastAsia="zh-CN"/>
        </w:rPr>
        <w:t>及</w:t>
      </w:r>
      <w:r>
        <w:rPr>
          <w:rFonts w:hint="eastAsia" w:ascii="仿宋_GB2312" w:hAnsi="仿宋_GB2312" w:eastAsia="仿宋_GB2312" w:cs="仿宋_GB2312"/>
          <w:color w:val="auto"/>
          <w:sz w:val="32"/>
          <w:szCs w:val="32"/>
          <w:u w:val="none"/>
        </w:rPr>
        <w:t>以上留学归国人员</w:t>
      </w:r>
      <w:r>
        <w:rPr>
          <w:rFonts w:hint="eastAsia" w:ascii="仿宋_GB2312" w:hAnsi="仿宋_GB2312" w:eastAsia="仿宋_GB2312" w:cs="仿宋_GB2312"/>
          <w:color w:val="auto"/>
          <w:sz w:val="32"/>
          <w:szCs w:val="32"/>
          <w:u w:val="none"/>
          <w:lang w:eastAsia="zh-CN"/>
        </w:rPr>
        <w:t>；由企业统一组织与高校、科研院所联合培养的硕士研究生，毕业后继续在邹平工作的。</w:t>
      </w:r>
    </w:p>
    <w:p>
      <w:pPr>
        <w:pStyle w:val="6"/>
        <w:pageBreakBefore w:val="0"/>
        <w:widowControl w:val="0"/>
        <w:numPr>
          <w:ilvl w:val="0"/>
          <w:numId w:val="0"/>
        </w:numPr>
        <w:kinsoku/>
        <w:wordWrap/>
        <w:overflowPunct/>
        <w:topLinePunct w:val="0"/>
        <w:bidi w:val="0"/>
        <w:spacing w:line="540" w:lineRule="exact"/>
        <w:ind w:left="0" w:leftChars="0" w:right="0" w:firstLine="0" w:firstLineChars="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　　</w:t>
      </w:r>
      <w:r>
        <w:rPr>
          <w:rFonts w:hint="eastAsia" w:ascii="仿宋_GB2312" w:hAnsi="仿宋_GB2312" w:eastAsia="仿宋_GB2312" w:cs="仿宋_GB2312"/>
          <w:color w:val="auto"/>
          <w:sz w:val="32"/>
          <w:szCs w:val="32"/>
          <w:u w:val="none"/>
        </w:rPr>
        <w:t>且符合下列条件的人员：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40" w:lineRule="exact"/>
        <w:ind w:left="0" w:leftChars="0" w:right="0" w:firstLine="0" w:firstLineChars="0"/>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eastAsia="zh-CN"/>
        </w:rPr>
        <w:t>　　</w:t>
      </w:r>
      <w:r>
        <w:rPr>
          <w:rFonts w:hint="eastAsia" w:ascii="仿宋_GB2312" w:hAnsi="仿宋_GB2312" w:eastAsia="仿宋_GB2312" w:cs="仿宋_GB2312"/>
          <w:color w:val="auto"/>
          <w:sz w:val="32"/>
          <w:szCs w:val="32"/>
          <w:u w:val="none"/>
        </w:rPr>
        <w:t>（一）申请人须具有</w:t>
      </w:r>
      <w:r>
        <w:rPr>
          <w:rFonts w:hint="eastAsia" w:ascii="仿宋_GB2312" w:hAnsi="仿宋_GB2312" w:eastAsia="仿宋_GB2312" w:cs="仿宋_GB2312"/>
          <w:color w:val="auto"/>
          <w:sz w:val="32"/>
          <w:szCs w:val="32"/>
          <w:u w:val="none"/>
          <w:lang w:val="en-US" w:eastAsia="zh-CN"/>
        </w:rPr>
        <w:t>全日制</w:t>
      </w:r>
      <w:r>
        <w:rPr>
          <w:rFonts w:hint="eastAsia" w:ascii="仿宋_GB2312" w:hAnsi="仿宋_GB2312" w:eastAsia="仿宋_GB2312" w:cs="仿宋_GB2312"/>
          <w:color w:val="auto"/>
          <w:sz w:val="32"/>
          <w:szCs w:val="32"/>
          <w:u w:val="none"/>
        </w:rPr>
        <w:t>本科及以上学历</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并获得相应的学士、硕士学位</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联合培养人员须为硕士研究生学历。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40" w:lineRule="exact"/>
        <w:ind w:left="0" w:leftChars="0" w:right="0" w:firstLine="0" w:firstLineChars="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　　</w:t>
      </w:r>
      <w:r>
        <w:rPr>
          <w:rFonts w:hint="eastAsia" w:ascii="仿宋_GB2312" w:hAnsi="仿宋_GB2312" w:eastAsia="仿宋_GB2312" w:cs="仿宋_GB2312"/>
          <w:color w:val="auto"/>
          <w:sz w:val="32"/>
          <w:szCs w:val="32"/>
          <w:u w:val="none"/>
        </w:rPr>
        <w:t>（二）首次来</w:t>
      </w:r>
      <w:r>
        <w:rPr>
          <w:rFonts w:hint="eastAsia" w:ascii="仿宋_GB2312" w:hAnsi="仿宋_GB2312" w:eastAsia="仿宋_GB2312" w:cs="仿宋_GB2312"/>
          <w:color w:val="auto"/>
          <w:sz w:val="32"/>
          <w:szCs w:val="32"/>
          <w:u w:val="none"/>
          <w:lang w:val="en-US" w:eastAsia="zh-CN"/>
        </w:rPr>
        <w:t>邹</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指之前未曾在</w:t>
      </w:r>
      <w:r>
        <w:rPr>
          <w:rFonts w:hint="eastAsia" w:ascii="仿宋_GB2312" w:hAnsi="仿宋_GB2312" w:eastAsia="仿宋_GB2312" w:cs="仿宋_GB2312"/>
          <w:color w:val="auto"/>
          <w:sz w:val="32"/>
          <w:szCs w:val="32"/>
          <w:u w:val="none"/>
          <w:lang w:val="en-US" w:eastAsia="zh-CN"/>
        </w:rPr>
        <w:t>邹平</w:t>
      </w:r>
      <w:r>
        <w:rPr>
          <w:rFonts w:hint="eastAsia" w:ascii="仿宋_GB2312" w:hAnsi="仿宋_GB2312" w:eastAsia="仿宋_GB2312" w:cs="仿宋_GB2312"/>
          <w:color w:val="auto"/>
          <w:sz w:val="32"/>
          <w:szCs w:val="32"/>
          <w:u w:val="none"/>
        </w:rPr>
        <w:t>就业创业及缴纳社会保险。申请生活补助起始时间不得早于实际来</w:t>
      </w:r>
      <w:r>
        <w:rPr>
          <w:rFonts w:hint="eastAsia" w:ascii="仿宋_GB2312" w:hAnsi="仿宋_GB2312" w:eastAsia="仿宋_GB2312" w:cs="仿宋_GB2312"/>
          <w:color w:val="auto"/>
          <w:sz w:val="32"/>
          <w:szCs w:val="32"/>
          <w:u w:val="none"/>
          <w:lang w:val="en-US" w:eastAsia="zh-CN"/>
        </w:rPr>
        <w:t>邹</w:t>
      </w:r>
      <w:r>
        <w:rPr>
          <w:rFonts w:hint="eastAsia" w:ascii="仿宋_GB2312" w:hAnsi="仿宋_GB2312" w:eastAsia="仿宋_GB2312" w:cs="仿宋_GB2312"/>
          <w:color w:val="auto"/>
          <w:sz w:val="32"/>
          <w:szCs w:val="32"/>
          <w:u w:val="none"/>
        </w:rPr>
        <w:t>就业创业时间。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40" w:lineRule="exact"/>
        <w:ind w:left="0" w:leftChars="0" w:right="0" w:firstLine="0" w:firstLineChars="0"/>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eastAsia="zh-CN"/>
        </w:rPr>
        <w:t>　　</w:t>
      </w:r>
      <w:r>
        <w:rPr>
          <w:rFonts w:hint="eastAsia" w:ascii="仿宋_GB2312" w:hAnsi="仿宋_GB2312" w:eastAsia="仿宋_GB2312" w:cs="仿宋_GB2312"/>
          <w:color w:val="auto"/>
          <w:sz w:val="32"/>
          <w:szCs w:val="32"/>
          <w:u w:val="none"/>
        </w:rPr>
        <w:t>（三）到企业就业的</w:t>
      </w:r>
      <w:r>
        <w:rPr>
          <w:rFonts w:hint="eastAsia" w:ascii="仿宋_GB2312" w:hAnsi="仿宋_GB2312" w:eastAsia="仿宋_GB2312" w:cs="仿宋_GB2312"/>
          <w:color w:val="auto"/>
          <w:sz w:val="32"/>
          <w:szCs w:val="32"/>
          <w:u w:val="none"/>
          <w:lang w:val="en-US" w:eastAsia="zh-CN"/>
        </w:rPr>
        <w:t>全日制硕士、大学本科生</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与</w:t>
      </w:r>
      <w:r>
        <w:rPr>
          <w:rFonts w:hint="eastAsia" w:ascii="仿宋_GB2312" w:hAnsi="仿宋_GB2312" w:eastAsia="仿宋_GB2312" w:cs="仿宋_GB2312"/>
          <w:color w:val="auto"/>
          <w:sz w:val="32"/>
          <w:szCs w:val="32"/>
          <w:u w:val="none"/>
        </w:rPr>
        <w:t>企业签订3年及以上劳动合同</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并在我市正常缴纳社会保险（须含养老保险</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下同</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用人单位注册地、申请人社保缴纳地、个税缴纳地均在邹平市内，所全职服务的用人单位、社保缴纳单位和个人纳税单位应保持一致（不含断缴、个人缴纳情况）。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40" w:lineRule="exact"/>
        <w:ind w:left="0" w:leftChars="0" w:right="0" w:firstLine="0" w:firstLineChars="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　　</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四</w:t>
      </w:r>
      <w:r>
        <w:rPr>
          <w:rFonts w:hint="eastAsia" w:ascii="仿宋_GB2312" w:hAnsi="仿宋_GB2312" w:eastAsia="仿宋_GB2312" w:cs="仿宋_GB2312"/>
          <w:color w:val="auto"/>
          <w:sz w:val="32"/>
          <w:szCs w:val="32"/>
          <w:u w:val="none"/>
        </w:rPr>
        <w:t>）依法独立创办企业或参与创办企业</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企业正常运营</w:t>
      </w:r>
      <w:r>
        <w:rPr>
          <w:rFonts w:hint="eastAsia" w:ascii="仿宋_GB2312" w:hAnsi="仿宋_GB2312" w:eastAsia="仿宋_GB2312" w:cs="仿宋_GB2312"/>
          <w:color w:val="auto"/>
          <w:sz w:val="32"/>
          <w:szCs w:val="32"/>
          <w:u w:val="none"/>
        </w:rPr>
        <w:t>的，</w:t>
      </w:r>
      <w:r>
        <w:rPr>
          <w:rFonts w:hint="eastAsia" w:ascii="仿宋_GB2312" w:hAnsi="仿宋_GB2312" w:eastAsia="仿宋_GB2312" w:cs="仿宋_GB2312"/>
          <w:color w:val="auto"/>
          <w:sz w:val="32"/>
          <w:szCs w:val="32"/>
          <w:u w:val="none"/>
          <w:lang w:val="en-US" w:eastAsia="zh-CN"/>
        </w:rPr>
        <w:t>在所创企业</w:t>
      </w:r>
      <w:r>
        <w:rPr>
          <w:rFonts w:hint="eastAsia" w:ascii="仿宋_GB2312" w:hAnsi="仿宋_GB2312" w:eastAsia="仿宋_GB2312" w:cs="仿宋_GB2312"/>
          <w:color w:val="auto"/>
          <w:sz w:val="32"/>
          <w:szCs w:val="32"/>
          <w:u w:val="none"/>
        </w:rPr>
        <w:t>正常缴纳社会保险</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且在企业占股比例不少于30%。</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40" w:lineRule="exact"/>
        <w:ind w:left="0" w:leftChars="0" w:right="0" w:firstLine="0" w:firstLineChars="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　　（</w:t>
      </w:r>
      <w:r>
        <w:rPr>
          <w:rFonts w:hint="eastAsia" w:ascii="仿宋_GB2312" w:hAnsi="仿宋_GB2312" w:eastAsia="仿宋_GB2312" w:cs="仿宋_GB2312"/>
          <w:color w:val="auto"/>
          <w:sz w:val="32"/>
          <w:szCs w:val="32"/>
          <w:u w:val="none"/>
          <w:lang w:val="en-US" w:eastAsia="zh-CN"/>
        </w:rPr>
        <w:t>五</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遵纪守法，诚实守信。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0" w:firstLineChars="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以下情形人员，按有关规定享受补助。</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rightChars="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1.补助时限内，补助对象在邹平市域内更换企业，可继续享受生活补助，断档期不计入补助时限，由现用人单位申报，须提供原单位劳动合同，前后累计补助时限最长不超过最高时限。</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0" w:firstLineChars="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2.补助时限内，对于补助对象离职攻读全日制学历学位，期间暂停发放补助，暂停期间不计入补助时限；取得更高学历学位回邹平工作后，可按最高学历学位重新申请，享受相应补助，前后累计补助时限最长不超过最高时限。</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40" w:lineRule="exact"/>
        <w:ind w:left="0" w:leftChars="0" w:right="0" w:firstLine="0" w:firstLineChars="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3.申请人创业失败再次创业的或重新在邹平市域内其他符合条件的企业就业的，可继续享受生活补助，断档期不计入补助时限，再次创业或就业后重新申报，前后累计补助时限最长不超过最高时限。</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40" w:lineRule="exact"/>
        <w:ind w:left="0" w:leftChars="0" w:right="0" w:firstLine="0" w:firstLineChars="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4.申请人属于企业劳务派遣人员的，由劳务派遣公司进行审核申报，申报时需同时提供用工企业与劳务派遣公司签订的有效期内劳务派遣合同。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40" w:lineRule="exact"/>
        <w:ind w:left="0" w:leftChars="0" w:right="0" w:firstLine="0" w:firstLineChars="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5.补助期满后，在邹平市域内变更工作单位或离邹后又回邹工作的，不重复享受补助政策。</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40" w:lineRule="exact"/>
        <w:ind w:left="0" w:leftChars="0" w:right="0" w:rightChars="0" w:firstLine="0" w:firstLineChars="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　　本细则所称企业，是指在邹平行政区域内依法注册，具备独立法人资格，实行独立核算的企业（包括企业化运营的民办非企业、新型农业经营主体）</w:t>
      </w:r>
      <w:r>
        <w:rPr>
          <w:rFonts w:hint="eastAsia" w:ascii="仿宋_GB2312" w:hAnsi="仿宋_GB2312" w:eastAsia="仿宋_GB2312" w:cs="仿宋_GB2312"/>
          <w:color w:val="auto"/>
          <w:sz w:val="32"/>
          <w:szCs w:val="32"/>
          <w:u w:val="none"/>
          <w:lang w:eastAsia="zh-CN"/>
        </w:rPr>
        <w:t>。</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40" w:lineRule="exact"/>
        <w:ind w:left="0" w:leftChars="0" w:right="0" w:rightChars="0" w:firstLine="0" w:firstLineChars="0"/>
        <w:rPr>
          <w:rFonts w:hint="eastAsia" w:ascii="黑体" w:hAnsi="黑体" w:eastAsia="黑体" w:cs="宋体"/>
          <w:color w:val="auto"/>
          <w:kern w:val="0"/>
          <w:sz w:val="32"/>
          <w:szCs w:val="32"/>
        </w:rPr>
      </w:pPr>
      <w:r>
        <w:rPr>
          <w:rFonts w:hint="eastAsia" w:ascii="黑体" w:hAnsi="黑体" w:eastAsia="黑体" w:cs="宋体"/>
          <w:color w:val="auto"/>
          <w:kern w:val="0"/>
          <w:sz w:val="32"/>
          <w:szCs w:val="32"/>
          <w:lang w:val="en-US" w:eastAsia="zh-CN"/>
        </w:rPr>
        <w:t xml:space="preserve">　　第二条 </w:t>
      </w:r>
      <w:r>
        <w:rPr>
          <w:rFonts w:hint="eastAsia" w:ascii="黑体" w:hAnsi="黑体" w:eastAsia="黑体" w:cs="宋体"/>
          <w:color w:val="auto"/>
          <w:kern w:val="0"/>
          <w:sz w:val="32"/>
          <w:szCs w:val="32"/>
        </w:rPr>
        <w:t>政策类型</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40" w:lineRule="exact"/>
        <w:ind w:left="0" w:leftChars="0" w:right="0" w:rightChars="0" w:firstLine="0"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　　</w:t>
      </w:r>
      <w:r>
        <w:rPr>
          <w:rFonts w:hint="eastAsia" w:ascii="仿宋_GB2312" w:hAnsi="仿宋_GB2312" w:eastAsia="仿宋_GB2312" w:cs="仿宋_GB2312"/>
          <w:color w:val="auto"/>
          <w:kern w:val="0"/>
          <w:sz w:val="32"/>
          <w:szCs w:val="32"/>
        </w:rPr>
        <w:t>依申请享受</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40" w:lineRule="exact"/>
        <w:ind w:left="0" w:leftChars="0" w:right="0" w:rightChars="0" w:firstLine="0" w:firstLineChars="0"/>
        <w:rPr>
          <w:rFonts w:hint="eastAsia" w:ascii="仿宋_GB2312" w:hAnsi="仿宋_GB2312" w:eastAsia="仿宋_GB2312" w:cs="仿宋_GB2312"/>
          <w:color w:val="auto"/>
          <w:sz w:val="32"/>
          <w:szCs w:val="32"/>
          <w:u w:val="none"/>
          <w:lang w:val="en-US" w:eastAsia="zh-CN"/>
        </w:rPr>
      </w:pPr>
      <w:r>
        <w:rPr>
          <w:rFonts w:hint="eastAsia" w:ascii="黑体" w:hAnsi="黑体" w:eastAsia="黑体"/>
          <w:color w:val="auto"/>
          <w:sz w:val="32"/>
          <w:szCs w:val="32"/>
          <w:lang w:val="en-US" w:eastAsia="zh-CN"/>
        </w:rPr>
        <w:t xml:space="preserve">　　第三条 </w:t>
      </w:r>
      <w:r>
        <w:rPr>
          <w:rFonts w:hint="eastAsia" w:ascii="黑体" w:hAnsi="黑体" w:eastAsia="黑体"/>
          <w:color w:val="auto"/>
          <w:sz w:val="32"/>
          <w:szCs w:val="32"/>
        </w:rPr>
        <w:t>补助标准及期限</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40" w:lineRule="exact"/>
        <w:ind w:left="0" w:leftChars="0" w:right="0" w:rightChars="0" w:firstLine="0" w:firstLineChars="0"/>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w:t>
      </w:r>
      <w:r>
        <w:rPr>
          <w:rFonts w:hint="eastAsia" w:ascii="仿宋_GB2312" w:hAnsi="仿宋_GB2312" w:eastAsia="仿宋_GB2312" w:cs="仿宋_GB2312"/>
          <w:b w:val="0"/>
          <w:bCs w:val="0"/>
          <w:color w:val="auto"/>
          <w:sz w:val="32"/>
          <w:szCs w:val="32"/>
          <w:u w:val="none"/>
          <w:lang w:val="en-US" w:eastAsia="zh-CN"/>
        </w:rPr>
        <w:t>符合条件的全日制硕士研究生、大学本科生，分别按照每人每月5000元、2000元的标准发放生活补贴，连续发放３年。属于“双一流”建设高校的生活补贴标准提高50%。</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40" w:lineRule="exact"/>
        <w:ind w:left="0" w:leftChars="0" w:right="0" w:rightChars="0" w:firstLine="0" w:firstLineChars="0"/>
        <w:rPr>
          <w:rFonts w:hint="default" w:ascii="宋体" w:hAnsi="宋体" w:cs="宋体"/>
          <w:color w:val="auto"/>
          <w:sz w:val="28"/>
          <w:szCs w:val="28"/>
          <w:u w:val="none"/>
          <w:lang w:val="en-US" w:eastAsia="zh-CN"/>
        </w:rPr>
      </w:pPr>
      <w:r>
        <w:rPr>
          <w:rFonts w:hint="eastAsia" w:ascii="仿宋_GB2312" w:hAnsi="仿宋_GB2312" w:eastAsia="仿宋_GB2312" w:cs="仿宋_GB2312"/>
          <w:color w:val="auto"/>
          <w:sz w:val="32"/>
          <w:szCs w:val="32"/>
          <w:u w:val="none"/>
          <w:lang w:eastAsia="zh-CN"/>
        </w:rPr>
        <w:t>　　由企业统一组织与高校、科研院所联合培养的硕士研究生，毕业后继续在邹平工作的，</w:t>
      </w:r>
      <w:r>
        <w:rPr>
          <w:rFonts w:hint="eastAsia" w:ascii="仿宋_GB2312" w:hAnsi="仿宋_GB2312" w:eastAsia="仿宋_GB2312" w:cs="仿宋_GB2312"/>
          <w:color w:val="auto"/>
          <w:sz w:val="32"/>
          <w:szCs w:val="32"/>
          <w:u w:val="none"/>
          <w:lang w:val="en-US" w:eastAsia="zh-CN"/>
        </w:rPr>
        <w:t>按以上标准的50%给予生活补贴，连续发放3年。</w:t>
      </w:r>
    </w:p>
    <w:p>
      <w:pPr>
        <w:pStyle w:val="6"/>
        <w:pageBreakBefore w:val="0"/>
        <w:widowControl w:val="0"/>
        <w:numPr>
          <w:ilvl w:val="0"/>
          <w:numId w:val="0"/>
        </w:numPr>
        <w:kinsoku/>
        <w:wordWrap/>
        <w:overflowPunct/>
        <w:topLinePunct w:val="0"/>
        <w:bidi w:val="0"/>
        <w:spacing w:line="540" w:lineRule="exact"/>
        <w:ind w:left="0" w:leftChars="0" w:right="0" w:firstLine="0" w:firstLineChars="0"/>
        <w:rPr>
          <w:rFonts w:hint="eastAsia" w:ascii="黑体" w:hAnsi="黑体" w:eastAsia="黑体"/>
          <w:color w:val="auto"/>
          <w:sz w:val="32"/>
          <w:szCs w:val="32"/>
        </w:rPr>
      </w:pPr>
      <w:r>
        <w:rPr>
          <w:rFonts w:hint="eastAsia" w:ascii="黑体" w:hAnsi="黑体" w:eastAsia="黑体"/>
          <w:color w:val="auto"/>
          <w:sz w:val="32"/>
          <w:szCs w:val="32"/>
          <w:lang w:val="en-US" w:eastAsia="zh-CN"/>
        </w:rPr>
        <w:t xml:space="preserve">　　第四条 </w:t>
      </w:r>
      <w:r>
        <w:rPr>
          <w:rFonts w:hint="eastAsia" w:ascii="黑体" w:hAnsi="黑体" w:eastAsia="黑体"/>
          <w:color w:val="auto"/>
          <w:sz w:val="32"/>
          <w:szCs w:val="32"/>
        </w:rPr>
        <w:t>申报方式</w:t>
      </w:r>
    </w:p>
    <w:p>
      <w:pPr>
        <w:pStyle w:val="2"/>
        <w:keepNext w:val="0"/>
        <w:keepLines w:val="0"/>
        <w:pageBreakBefore w:val="0"/>
        <w:widowControl w:val="0"/>
        <w:kinsoku/>
        <w:wordWrap/>
        <w:overflowPunct/>
        <w:topLinePunct w:val="0"/>
        <w:bidi w:val="0"/>
        <w:spacing w:before="0" w:line="540" w:lineRule="exact"/>
        <w:ind w:left="0" w:leftChars="0" w:right="0" w:firstLine="0" w:firstLineChars="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0"/>
          <w:w w:val="100"/>
          <w:lang w:eastAsia="zh-CN"/>
        </w:rPr>
        <w:t>　　</w:t>
      </w:r>
      <w:r>
        <w:rPr>
          <w:rFonts w:hint="eastAsia" w:ascii="仿宋_GB2312" w:hAnsi="仿宋_GB2312" w:eastAsia="仿宋_GB2312" w:cs="仿宋_GB2312"/>
          <w:color w:val="auto"/>
          <w:spacing w:val="0"/>
          <w:w w:val="100"/>
        </w:rPr>
        <w:t>生活补助</w:t>
      </w:r>
      <w:r>
        <w:rPr>
          <w:rFonts w:hint="eastAsia" w:ascii="仿宋_GB2312" w:hAnsi="仿宋_GB2312" w:eastAsia="仿宋_GB2312" w:cs="仿宋_GB2312"/>
          <w:color w:val="auto"/>
          <w:spacing w:val="0"/>
          <w:w w:val="100"/>
          <w:lang w:eastAsia="zh-CN"/>
        </w:rPr>
        <w:t>采用定期</w:t>
      </w:r>
      <w:r>
        <w:rPr>
          <w:rFonts w:hint="eastAsia" w:ascii="仿宋_GB2312" w:hAnsi="仿宋_GB2312" w:eastAsia="仿宋_GB2312" w:cs="仿宋_GB2312"/>
          <w:color w:val="auto"/>
          <w:spacing w:val="0"/>
          <w:w w:val="100"/>
        </w:rPr>
        <w:t>集中</w:t>
      </w:r>
      <w:r>
        <w:rPr>
          <w:rFonts w:hint="eastAsia" w:ascii="仿宋_GB2312" w:hAnsi="仿宋_GB2312" w:eastAsia="仿宋_GB2312" w:cs="仿宋_GB2312"/>
          <w:color w:val="auto"/>
          <w:spacing w:val="0"/>
          <w:w w:val="100"/>
          <w:lang w:eastAsia="zh-CN"/>
        </w:rPr>
        <w:t>申报</w:t>
      </w:r>
      <w:r>
        <w:rPr>
          <w:rFonts w:hint="eastAsia" w:ascii="仿宋_GB2312" w:hAnsi="仿宋_GB2312" w:eastAsia="仿宋_GB2312" w:cs="仿宋_GB2312"/>
          <w:color w:val="auto"/>
          <w:spacing w:val="0"/>
          <w:w w:val="100"/>
        </w:rPr>
        <w:t>发放</w:t>
      </w:r>
      <w:r>
        <w:rPr>
          <w:rFonts w:hint="eastAsia" w:ascii="仿宋_GB2312" w:hAnsi="仿宋_GB2312" w:eastAsia="仿宋_GB2312" w:cs="仿宋_GB2312"/>
          <w:color w:val="auto"/>
          <w:spacing w:val="0"/>
          <w:w w:val="100"/>
          <w:lang w:eastAsia="zh-CN"/>
        </w:rPr>
        <w:t>的方式</w:t>
      </w:r>
      <w:r>
        <w:rPr>
          <w:rFonts w:hint="eastAsia" w:ascii="仿宋_GB2312" w:hAnsi="仿宋_GB2312" w:eastAsia="仿宋_GB2312" w:cs="仿宋_GB2312"/>
          <w:color w:val="auto"/>
          <w:spacing w:val="0"/>
          <w:w w:val="100"/>
        </w:rPr>
        <w:t>，</w:t>
      </w:r>
      <w:r>
        <w:rPr>
          <w:rFonts w:hint="eastAsia" w:ascii="仿宋_GB2312" w:hAnsi="仿宋_GB2312" w:eastAsia="仿宋_GB2312" w:cs="仿宋_GB2312"/>
          <w:color w:val="auto"/>
          <w:spacing w:val="0"/>
          <w:w w:val="100"/>
          <w:lang w:eastAsia="zh-CN"/>
        </w:rPr>
        <w:t>具体申报时间以公告为准，申报前</w:t>
      </w:r>
      <w:r>
        <w:rPr>
          <w:rFonts w:hint="eastAsia" w:ascii="仿宋_GB2312" w:hAnsi="仿宋_GB2312" w:eastAsia="仿宋_GB2312" w:cs="仿宋_GB2312"/>
          <w:color w:val="auto"/>
          <w:spacing w:val="0"/>
          <w:w w:val="100"/>
        </w:rPr>
        <w:t>已经离职的</w:t>
      </w:r>
      <w:r>
        <w:rPr>
          <w:rFonts w:hint="eastAsia" w:ascii="仿宋_GB2312" w:hAnsi="仿宋_GB2312" w:eastAsia="仿宋_GB2312" w:cs="仿宋_GB2312"/>
          <w:color w:val="auto"/>
          <w:spacing w:val="0"/>
          <w:w w:val="100"/>
          <w:lang w:eastAsia="zh-CN"/>
        </w:rPr>
        <w:t>，</w:t>
      </w:r>
      <w:r>
        <w:rPr>
          <w:rFonts w:hint="eastAsia" w:ascii="仿宋_GB2312" w:hAnsi="仿宋_GB2312" w:eastAsia="仿宋_GB2312" w:cs="仿宋_GB2312"/>
          <w:color w:val="auto"/>
          <w:spacing w:val="0"/>
          <w:w w:val="100"/>
        </w:rPr>
        <w:t>不再享受年度生活补助。</w:t>
      </w:r>
    </w:p>
    <w:p>
      <w:pPr>
        <w:pStyle w:val="6"/>
        <w:pageBreakBefore w:val="0"/>
        <w:widowControl w:val="0"/>
        <w:numPr>
          <w:ilvl w:val="0"/>
          <w:numId w:val="0"/>
        </w:numPr>
        <w:kinsoku/>
        <w:wordWrap/>
        <w:overflowPunct/>
        <w:topLinePunct w:val="0"/>
        <w:bidi w:val="0"/>
        <w:spacing w:line="540" w:lineRule="exact"/>
        <w:ind w:left="0" w:leftChars="0" w:right="0" w:firstLine="0" w:firstLineChars="0"/>
        <w:rPr>
          <w:rFonts w:hint="eastAsia" w:ascii="黑体" w:hAnsi="黑体" w:eastAsia="黑体"/>
          <w:color w:val="auto"/>
          <w:sz w:val="32"/>
          <w:szCs w:val="32"/>
        </w:rPr>
      </w:pPr>
      <w:r>
        <w:rPr>
          <w:rFonts w:hint="eastAsia" w:ascii="黑体" w:hAnsi="黑体" w:eastAsia="黑体"/>
          <w:color w:val="auto"/>
          <w:sz w:val="32"/>
          <w:szCs w:val="32"/>
          <w:lang w:val="en-US" w:eastAsia="zh-CN"/>
        </w:rPr>
        <w:t xml:space="preserve">　　第五条 </w:t>
      </w:r>
      <w:r>
        <w:rPr>
          <w:rFonts w:ascii="黑体" w:hAnsi="黑体" w:eastAsia="黑体"/>
          <w:color w:val="auto"/>
          <w:sz w:val="32"/>
          <w:szCs w:val="32"/>
        </w:rPr>
        <w:t>申报材料</w:t>
      </w:r>
    </w:p>
    <w:p>
      <w:pPr>
        <w:pStyle w:val="6"/>
        <w:pageBreakBefore w:val="0"/>
        <w:widowControl w:val="0"/>
        <w:numPr>
          <w:ilvl w:val="0"/>
          <w:numId w:val="0"/>
        </w:numPr>
        <w:kinsoku/>
        <w:wordWrap/>
        <w:overflowPunct/>
        <w:topLinePunct w:val="0"/>
        <w:bidi w:val="0"/>
        <w:spacing w:line="540" w:lineRule="exact"/>
        <w:ind w:left="0" w:leftChars="0" w:right="0"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（一）本人有效期内的身份证；</w:t>
      </w:r>
    </w:p>
    <w:p>
      <w:pPr>
        <w:pStyle w:val="6"/>
        <w:pageBreakBefore w:val="0"/>
        <w:widowControl w:val="0"/>
        <w:numPr>
          <w:ilvl w:val="0"/>
          <w:numId w:val="0"/>
        </w:numPr>
        <w:kinsoku/>
        <w:wordWrap/>
        <w:overflowPunct/>
        <w:topLinePunct w:val="0"/>
        <w:bidi w:val="0"/>
        <w:spacing w:line="540" w:lineRule="exact"/>
        <w:ind w:left="0" w:leftChars="0" w:right="0"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（二）国内高校毕业生提供《教育部学历证书电子注册备案表》、毕业证、学位证；留学归国人员提供教育部留学服务中心出具的《国外学历学位认证书》。</w:t>
      </w:r>
    </w:p>
    <w:p>
      <w:pPr>
        <w:pStyle w:val="6"/>
        <w:pageBreakBefore w:val="0"/>
        <w:widowControl w:val="0"/>
        <w:numPr>
          <w:ilvl w:val="0"/>
          <w:numId w:val="0"/>
        </w:numPr>
        <w:kinsoku/>
        <w:wordWrap/>
        <w:overflowPunct/>
        <w:topLinePunct w:val="0"/>
        <w:bidi w:val="0"/>
        <w:spacing w:line="540" w:lineRule="exact"/>
        <w:ind w:left="0" w:leftChars="0" w:right="0"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到企业就业的，提供（一）至（二）规定资料的基础上，还需提供与企业签订劳动合同。</w:t>
      </w:r>
    </w:p>
    <w:p>
      <w:pPr>
        <w:pStyle w:val="6"/>
        <w:pageBreakBefore w:val="0"/>
        <w:widowControl w:val="0"/>
        <w:numPr>
          <w:ilvl w:val="0"/>
          <w:numId w:val="0"/>
        </w:numPr>
        <w:kinsoku/>
        <w:wordWrap/>
        <w:overflowPunct/>
        <w:topLinePunct w:val="0"/>
        <w:bidi w:val="0"/>
        <w:spacing w:line="540" w:lineRule="exact"/>
        <w:ind w:left="0" w:leftChars="0" w:right="0"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自主创办企业的，提供（一）至（二）规定资料的基础上，还需要提供所创办企业营业执照及纳税证明，参与创办企业的还需提供持股证明。</w:t>
      </w:r>
    </w:p>
    <w:p>
      <w:pPr>
        <w:pStyle w:val="6"/>
        <w:pageBreakBefore w:val="0"/>
        <w:widowControl w:val="0"/>
        <w:numPr>
          <w:ilvl w:val="0"/>
          <w:numId w:val="0"/>
        </w:numPr>
        <w:kinsoku/>
        <w:wordWrap/>
        <w:overflowPunct/>
        <w:topLinePunct w:val="0"/>
        <w:bidi w:val="0"/>
        <w:spacing w:line="540" w:lineRule="exact"/>
        <w:ind w:left="0" w:leftChars="0" w:right="0"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企业统一组织与高校、科研院所联合培养的硕士研究生除提供以上材料外，还需提供单位与高校、科研院所联合培养协议及入学前与单位签订的劳动（聘用)合同。</w:t>
      </w:r>
    </w:p>
    <w:p>
      <w:pPr>
        <w:pStyle w:val="6"/>
        <w:pageBreakBefore w:val="0"/>
        <w:widowControl w:val="0"/>
        <w:numPr>
          <w:ilvl w:val="0"/>
          <w:numId w:val="0"/>
        </w:numPr>
        <w:kinsoku/>
        <w:wordWrap/>
        <w:overflowPunct/>
        <w:topLinePunct w:val="0"/>
        <w:bidi w:val="0"/>
        <w:spacing w:line="540" w:lineRule="exact"/>
        <w:ind w:left="0" w:leftChars="0" w:right="0" w:firstLine="0" w:firstLineChars="0"/>
        <w:rPr>
          <w:rFonts w:hint="eastAsia" w:ascii="黑体" w:hAnsi="黑体" w:eastAsia="黑体"/>
          <w:color w:val="auto"/>
          <w:sz w:val="32"/>
          <w:szCs w:val="32"/>
        </w:rPr>
      </w:pPr>
      <w:r>
        <w:rPr>
          <w:rFonts w:hint="eastAsia" w:ascii="黑体" w:hAnsi="黑体" w:eastAsia="黑体" w:cs="黑体"/>
          <w:color w:val="auto"/>
          <w:sz w:val="32"/>
          <w:szCs w:val="32"/>
          <w:lang w:val="en-US" w:eastAsia="zh-CN"/>
        </w:rPr>
        <w:t xml:space="preserve">　　第六条 </w:t>
      </w:r>
      <w:r>
        <w:rPr>
          <w:rFonts w:hint="eastAsia" w:ascii="黑体" w:hAnsi="黑体" w:eastAsia="黑体"/>
          <w:color w:val="auto"/>
          <w:sz w:val="32"/>
          <w:szCs w:val="32"/>
        </w:rPr>
        <w:t>审核</w:t>
      </w:r>
    </w:p>
    <w:p>
      <w:pPr>
        <w:pStyle w:val="6"/>
        <w:pageBreakBefore w:val="0"/>
        <w:widowControl w:val="0"/>
        <w:numPr>
          <w:ilvl w:val="0"/>
          <w:numId w:val="0"/>
        </w:numPr>
        <w:kinsoku/>
        <w:wordWrap/>
        <w:overflowPunct/>
        <w:topLinePunct w:val="0"/>
        <w:bidi w:val="0"/>
        <w:spacing w:line="540" w:lineRule="exact"/>
        <w:ind w:left="0" w:leftChars="0" w:right="0" w:firstLine="0" w:firstLineChars="0"/>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　　申请人员所在单位对申报人员材料进行初审，审核无误后报市人社部门，市人社部门审核无误后，在“邹平人才网”进行公示，公示时间5个工作日，公示无异议的</w:t>
      </w:r>
      <w:r>
        <w:rPr>
          <w:rFonts w:hint="eastAsia" w:ascii="仿宋_GB2312" w:hAnsi="仿宋_GB2312" w:eastAsia="仿宋_GB2312" w:cs="仿宋_GB2312"/>
          <w:color w:val="auto"/>
          <w:kern w:val="2"/>
          <w:sz w:val="32"/>
          <w:szCs w:val="32"/>
          <w:lang w:val="en-US" w:eastAsia="zh-CN" w:bidi="ar-SA"/>
        </w:rPr>
        <w:t>报邹平市委人才工作领导小组办公室。</w:t>
      </w:r>
    </w:p>
    <w:p>
      <w:pPr>
        <w:pStyle w:val="6"/>
        <w:pageBreakBefore w:val="0"/>
        <w:widowControl w:val="0"/>
        <w:numPr>
          <w:ilvl w:val="0"/>
          <w:numId w:val="0"/>
        </w:numPr>
        <w:kinsoku/>
        <w:wordWrap/>
        <w:overflowPunct/>
        <w:topLinePunct w:val="0"/>
        <w:bidi w:val="0"/>
        <w:spacing w:line="540" w:lineRule="exact"/>
        <w:ind w:left="0" w:leftChars="0" w:right="0" w:firstLine="0" w:firstLineChars="0"/>
        <w:rPr>
          <w:rFonts w:hint="eastAsia" w:ascii="黑体" w:hAnsi="黑体" w:eastAsia="黑体"/>
          <w:color w:val="auto"/>
          <w:sz w:val="32"/>
          <w:szCs w:val="32"/>
        </w:rPr>
      </w:pPr>
      <w:r>
        <w:rPr>
          <w:rFonts w:hint="eastAsia" w:ascii="黑体" w:hAnsi="黑体" w:eastAsia="黑体"/>
          <w:color w:val="auto"/>
          <w:sz w:val="32"/>
          <w:szCs w:val="32"/>
          <w:lang w:val="en-US" w:eastAsia="zh-CN"/>
        </w:rPr>
        <w:t xml:space="preserve">　　第七条 </w:t>
      </w:r>
      <w:r>
        <w:rPr>
          <w:rFonts w:hint="eastAsia" w:ascii="黑体" w:hAnsi="黑体" w:eastAsia="黑体"/>
          <w:color w:val="auto"/>
          <w:sz w:val="32"/>
          <w:szCs w:val="32"/>
        </w:rPr>
        <w:t>资金拨付与发放</w:t>
      </w:r>
    </w:p>
    <w:p>
      <w:pPr>
        <w:pStyle w:val="2"/>
        <w:pageBreakBefore w:val="0"/>
        <w:widowControl w:val="0"/>
        <w:kinsoku/>
        <w:wordWrap/>
        <w:overflowPunct/>
        <w:topLinePunct w:val="0"/>
        <w:bidi w:val="0"/>
        <w:spacing w:before="0" w:line="540" w:lineRule="exact"/>
        <w:ind w:left="0" w:leftChars="0" w:right="0" w:firstLine="0" w:firstLineChars="0"/>
        <w:jc w:val="both"/>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市委组织部人才工作领导小组办公室根据核定人数、金额，申请补助资金。市财政局将补助资金按时拨付，补助将发放至个人社保卡金融账户中。</w:t>
      </w:r>
    </w:p>
    <w:p>
      <w:pPr>
        <w:pStyle w:val="6"/>
        <w:pageBreakBefore w:val="0"/>
        <w:widowControl w:val="0"/>
        <w:numPr>
          <w:ilvl w:val="0"/>
          <w:numId w:val="0"/>
        </w:numPr>
        <w:kinsoku/>
        <w:wordWrap/>
        <w:overflowPunct/>
        <w:topLinePunct w:val="0"/>
        <w:bidi w:val="0"/>
        <w:spacing w:line="540" w:lineRule="exact"/>
        <w:ind w:left="0" w:leftChars="0" w:right="0" w:firstLine="0" w:firstLineChars="0"/>
        <w:rPr>
          <w:rFonts w:hint="eastAsia" w:ascii="黑体" w:hAnsi="黑体" w:eastAsia="黑体"/>
          <w:color w:val="auto"/>
          <w:sz w:val="32"/>
          <w:szCs w:val="32"/>
        </w:rPr>
      </w:pPr>
      <w:r>
        <w:rPr>
          <w:rFonts w:hint="eastAsia" w:ascii="黑体" w:hAnsi="黑体" w:eastAsia="黑体"/>
          <w:color w:val="auto"/>
          <w:sz w:val="32"/>
          <w:szCs w:val="32"/>
          <w:lang w:val="en-US" w:eastAsia="zh-CN"/>
        </w:rPr>
        <w:t xml:space="preserve">　　第八条 </w:t>
      </w:r>
      <w:r>
        <w:rPr>
          <w:rFonts w:hint="eastAsia" w:ascii="黑体" w:hAnsi="黑体" w:eastAsia="黑体"/>
          <w:color w:val="auto"/>
          <w:sz w:val="32"/>
          <w:szCs w:val="32"/>
        </w:rPr>
        <w:t>管理措施</w:t>
      </w:r>
    </w:p>
    <w:p>
      <w:pPr>
        <w:pStyle w:val="2"/>
        <w:pageBreakBefore w:val="0"/>
        <w:widowControl w:val="0"/>
        <w:kinsoku/>
        <w:wordWrap/>
        <w:overflowPunct/>
        <w:topLinePunct w:val="0"/>
        <w:bidi w:val="0"/>
        <w:spacing w:before="0" w:line="540" w:lineRule="exact"/>
        <w:ind w:left="0" w:leftChars="0" w:right="0" w:firstLine="0" w:firstLineChars="0"/>
        <w:jc w:val="both"/>
        <w:rPr>
          <w:rFonts w:hint="default"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补助对象申请补助时，需为在职状态</w:t>
      </w:r>
      <w:r>
        <w:rPr>
          <w:rFonts w:hint="default" w:ascii="仿宋_GB2312" w:hAnsi="Calibri" w:eastAsia="仿宋_GB2312" w:cs="Times New Roman"/>
          <w:color w:val="auto"/>
          <w:kern w:val="2"/>
          <w:sz w:val="32"/>
          <w:szCs w:val="32"/>
          <w:lang w:val="en-US" w:eastAsia="zh-CN" w:bidi="ar-SA"/>
        </w:rPr>
        <w:t>。</w:t>
      </w:r>
    </w:p>
    <w:p>
      <w:pPr>
        <w:pStyle w:val="6"/>
        <w:pageBreakBefore w:val="0"/>
        <w:widowControl w:val="0"/>
        <w:numPr>
          <w:ilvl w:val="0"/>
          <w:numId w:val="0"/>
        </w:numPr>
        <w:kinsoku/>
        <w:wordWrap/>
        <w:overflowPunct/>
        <w:topLinePunct w:val="0"/>
        <w:bidi w:val="0"/>
        <w:spacing w:line="540" w:lineRule="exact"/>
        <w:ind w:left="0" w:leftChars="0" w:right="0" w:firstLine="0" w:firstLineChars="0"/>
        <w:rPr>
          <w:rFonts w:hint="eastAsia" w:ascii="黑体" w:hAnsi="黑体" w:eastAsia="黑体"/>
          <w:color w:val="auto"/>
          <w:sz w:val="32"/>
          <w:szCs w:val="32"/>
        </w:rPr>
      </w:pPr>
      <w:r>
        <w:rPr>
          <w:rFonts w:hint="eastAsia" w:ascii="黑体" w:hAnsi="黑体" w:eastAsia="黑体"/>
          <w:color w:val="auto"/>
          <w:sz w:val="32"/>
          <w:szCs w:val="32"/>
          <w:lang w:val="en-US" w:eastAsia="zh-CN"/>
        </w:rPr>
        <w:t xml:space="preserve">　　第九条 </w:t>
      </w:r>
      <w:r>
        <w:rPr>
          <w:rFonts w:hint="eastAsia" w:ascii="黑体" w:hAnsi="黑体" w:eastAsia="黑体"/>
          <w:color w:val="auto"/>
          <w:sz w:val="32"/>
          <w:szCs w:val="32"/>
        </w:rPr>
        <w:t>责任追究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40" w:lineRule="exact"/>
        <w:ind w:left="0" w:leftChars="0" w:right="0" w:firstLine="0" w:firstLineChars="0"/>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w:t>
      </w:r>
      <w:r>
        <w:rPr>
          <w:rFonts w:hint="default" w:ascii="仿宋_GB2312" w:hAnsi="Calibri" w:eastAsia="仿宋_GB2312" w:cs="Times New Roman"/>
          <w:color w:val="auto"/>
          <w:kern w:val="2"/>
          <w:sz w:val="32"/>
          <w:szCs w:val="32"/>
          <w:lang w:val="en-US" w:eastAsia="zh-CN" w:bidi="ar-SA"/>
        </w:rPr>
        <w:t>对大学生就业创业生活补助资金，各级、各单位要专款专用，不得截留、挤占和挪用。建立失信“黑名单”制度。对弄虚作假冒领或者套取补助的单位和个人，严肃查处，追缴所发资金。涉嫌犯罪的，依法移送司法机关处理。对因玩忽职守、审核把关不严造成不良影响的相关部门工作</w:t>
      </w:r>
      <w:r>
        <w:rPr>
          <w:rFonts w:hint="eastAsia" w:ascii="仿宋_GB2312" w:hAnsi="Calibri" w:eastAsia="仿宋_GB2312" w:cs="Times New Roman"/>
          <w:color w:val="auto"/>
          <w:kern w:val="2"/>
          <w:sz w:val="32"/>
          <w:szCs w:val="32"/>
          <w:lang w:val="en-US" w:eastAsia="zh-CN" w:bidi="ar-SA"/>
        </w:rPr>
        <w:t>人员</w:t>
      </w:r>
      <w:r>
        <w:rPr>
          <w:rFonts w:hint="default" w:ascii="仿宋_GB2312" w:hAnsi="Calibri" w:eastAsia="仿宋_GB2312" w:cs="Times New Roman"/>
          <w:color w:val="auto"/>
          <w:kern w:val="2"/>
          <w:sz w:val="32"/>
          <w:szCs w:val="32"/>
          <w:lang w:val="en-US" w:eastAsia="zh-CN" w:bidi="ar-SA"/>
        </w:rPr>
        <w:t>依法依规严肃处理</w:t>
      </w:r>
      <w:r>
        <w:rPr>
          <w:rFonts w:hint="eastAsia" w:ascii="仿宋_GB2312" w:hAnsi="Calibri" w:eastAsia="仿宋_GB2312" w:cs="Times New Roman"/>
          <w:color w:val="auto"/>
          <w:kern w:val="2"/>
          <w:sz w:val="32"/>
          <w:szCs w:val="32"/>
          <w:lang w:val="en-US" w:eastAsia="zh-CN" w:bidi="ar-SA"/>
        </w:rPr>
        <w:t>。</w:t>
      </w:r>
    </w:p>
    <w:p>
      <w:pPr>
        <w:pStyle w:val="6"/>
        <w:pageBreakBefore w:val="0"/>
        <w:widowControl w:val="0"/>
        <w:numPr>
          <w:ilvl w:val="0"/>
          <w:numId w:val="0"/>
        </w:numPr>
        <w:kinsoku/>
        <w:wordWrap/>
        <w:overflowPunct/>
        <w:topLinePunct w:val="0"/>
        <w:bidi w:val="0"/>
        <w:spacing w:line="540" w:lineRule="exact"/>
        <w:ind w:left="0" w:leftChars="0" w:right="0" w:firstLine="0" w:firstLineChars="0"/>
        <w:rPr>
          <w:rFonts w:hint="eastAsia" w:ascii="黑体" w:hAnsi="黑体" w:eastAsia="黑体"/>
          <w:color w:val="auto"/>
          <w:sz w:val="32"/>
          <w:szCs w:val="32"/>
        </w:rPr>
      </w:pPr>
      <w:r>
        <w:rPr>
          <w:rFonts w:hint="eastAsia" w:ascii="黑体" w:hAnsi="黑体" w:eastAsia="黑体"/>
          <w:color w:val="auto"/>
          <w:sz w:val="32"/>
          <w:szCs w:val="32"/>
          <w:lang w:val="en-US" w:eastAsia="zh-CN"/>
        </w:rPr>
        <w:t xml:space="preserve">　　第十条 </w:t>
      </w:r>
      <w:r>
        <w:rPr>
          <w:rFonts w:hint="eastAsia" w:ascii="黑体" w:hAnsi="黑体" w:eastAsia="黑体"/>
          <w:color w:val="auto"/>
          <w:sz w:val="32"/>
          <w:szCs w:val="32"/>
        </w:rPr>
        <w:t>责任部门</w:t>
      </w:r>
    </w:p>
    <w:p>
      <w:pPr>
        <w:pageBreakBefore w:val="0"/>
        <w:widowControl w:val="0"/>
        <w:kinsoku/>
        <w:wordWrap/>
        <w:overflowPunct/>
        <w:topLinePunct w:val="0"/>
        <w:bidi w:val="0"/>
        <w:spacing w:line="540" w:lineRule="exact"/>
        <w:ind w:left="0" w:leftChars="0" w:right="0" w:firstLine="0" w:firstLineChars="0"/>
        <w:rPr>
          <w:rFonts w:hint="eastAsia" w:ascii="仿宋_GB2312" w:eastAsia="仿宋_GB2312"/>
          <w:color w:val="auto"/>
          <w:sz w:val="32"/>
          <w:szCs w:val="32"/>
        </w:rPr>
      </w:pPr>
      <w:r>
        <w:rPr>
          <w:rFonts w:hint="eastAsia" w:ascii="仿宋_GB2312" w:eastAsia="仿宋_GB2312"/>
          <w:color w:val="auto"/>
          <w:sz w:val="32"/>
          <w:szCs w:val="32"/>
          <w:lang w:eastAsia="zh-CN"/>
        </w:rPr>
        <w:t>　　</w:t>
      </w:r>
      <w:r>
        <w:rPr>
          <w:rFonts w:hint="eastAsia" w:ascii="仿宋_GB2312" w:eastAsia="仿宋_GB2312"/>
          <w:color w:val="auto"/>
          <w:sz w:val="32"/>
          <w:szCs w:val="32"/>
        </w:rPr>
        <w:t>邹平市人力资源和社会保障局</w:t>
      </w:r>
    </w:p>
    <w:p>
      <w:pPr>
        <w:pageBreakBefore w:val="0"/>
        <w:widowControl w:val="0"/>
        <w:kinsoku/>
        <w:wordWrap/>
        <w:overflowPunct/>
        <w:topLinePunct w:val="0"/>
        <w:bidi w:val="0"/>
        <w:spacing w:line="540" w:lineRule="exact"/>
        <w:ind w:left="0" w:leftChars="0" w:right="0" w:firstLine="0" w:firstLineChars="0"/>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　　</w:t>
      </w:r>
      <w:r>
        <w:rPr>
          <w:rFonts w:hint="eastAsia" w:ascii="仿宋_GB2312" w:eastAsia="仿宋_GB2312"/>
          <w:color w:val="auto"/>
          <w:sz w:val="32"/>
          <w:szCs w:val="32"/>
        </w:rPr>
        <w:t>联系电话：</w:t>
      </w:r>
      <w:r>
        <w:rPr>
          <w:rFonts w:hint="eastAsia" w:ascii="仿宋_GB2312" w:eastAsia="仿宋_GB2312"/>
          <w:color w:val="auto"/>
          <w:sz w:val="32"/>
          <w:szCs w:val="32"/>
          <w:lang w:val="en-US" w:eastAsia="zh-CN"/>
        </w:rPr>
        <w:t>0543-2182001</w:t>
      </w:r>
    </w:p>
    <w:p>
      <w:pPr>
        <w:pageBreakBefore w:val="0"/>
        <w:widowControl w:val="0"/>
        <w:kinsoku/>
        <w:wordWrap/>
        <w:overflowPunct/>
        <w:topLinePunct w:val="0"/>
        <w:bidi w:val="0"/>
        <w:spacing w:line="540" w:lineRule="exact"/>
        <w:ind w:left="0" w:leftChars="0" w:right="0" w:firstLine="0" w:firstLineChars="0"/>
        <w:rPr>
          <w:rFonts w:hint="eastAsia" w:ascii="仿宋_GB2312" w:eastAsia="仿宋_GB2312"/>
          <w:color w:val="auto"/>
          <w:sz w:val="32"/>
          <w:szCs w:val="32"/>
          <w:lang w:val="en-US" w:eastAsia="zh-CN"/>
        </w:rPr>
      </w:pPr>
    </w:p>
    <w:p>
      <w:pPr>
        <w:pageBreakBefore w:val="0"/>
        <w:widowControl w:val="0"/>
        <w:kinsoku/>
        <w:wordWrap/>
        <w:overflowPunct/>
        <w:topLinePunct w:val="0"/>
        <w:bidi w:val="0"/>
        <w:spacing w:line="540" w:lineRule="exact"/>
        <w:ind w:left="0" w:leftChars="0" w:right="0" w:firstLine="0" w:firstLineChars="0"/>
        <w:rPr>
          <w:rFonts w:hint="eastAsia" w:ascii="仿宋_GB2312" w:eastAsia="仿宋_GB2312"/>
          <w:color w:val="auto"/>
          <w:sz w:val="32"/>
          <w:szCs w:val="32"/>
          <w:lang w:val="en-US" w:eastAsia="zh-CN"/>
        </w:rPr>
      </w:pPr>
    </w:p>
    <w:p>
      <w:pPr>
        <w:pageBreakBefore w:val="0"/>
        <w:widowControl w:val="0"/>
        <w:kinsoku/>
        <w:wordWrap/>
        <w:overflowPunct/>
        <w:topLinePunct w:val="0"/>
        <w:bidi w:val="0"/>
        <w:spacing w:line="540" w:lineRule="exact"/>
        <w:ind w:left="0" w:leftChars="0" w:right="0" w:firstLine="0" w:firstLineChars="0"/>
        <w:rPr>
          <w:rFonts w:hint="eastAsia" w:ascii="仿宋_GB2312" w:eastAsia="仿宋_GB2312"/>
          <w:color w:val="auto"/>
          <w:sz w:val="32"/>
          <w:szCs w:val="32"/>
          <w:lang w:val="en-US" w:eastAsia="zh-CN"/>
        </w:rPr>
      </w:pPr>
    </w:p>
    <w:p>
      <w:pPr>
        <w:pageBreakBefore w:val="0"/>
        <w:widowControl w:val="0"/>
        <w:kinsoku/>
        <w:wordWrap/>
        <w:overflowPunct/>
        <w:topLinePunct w:val="0"/>
        <w:bidi w:val="0"/>
        <w:spacing w:line="540" w:lineRule="exact"/>
        <w:ind w:left="0" w:leftChars="0" w:right="0" w:firstLine="0" w:firstLineChars="0"/>
        <w:rPr>
          <w:rFonts w:hint="eastAsia" w:ascii="仿宋_GB2312" w:eastAsia="仿宋_GB2312"/>
          <w:color w:val="auto"/>
          <w:sz w:val="32"/>
          <w:szCs w:val="32"/>
          <w:lang w:val="en-US" w:eastAsia="zh-CN"/>
        </w:rPr>
      </w:pPr>
    </w:p>
    <w:p>
      <w:pPr>
        <w:pageBreakBefore w:val="0"/>
        <w:widowControl w:val="0"/>
        <w:kinsoku/>
        <w:wordWrap/>
        <w:overflowPunct/>
        <w:topLinePunct w:val="0"/>
        <w:bidi w:val="0"/>
        <w:spacing w:line="540" w:lineRule="exact"/>
        <w:ind w:left="0" w:leftChars="0" w:right="0" w:firstLine="0" w:firstLineChars="0"/>
        <w:rPr>
          <w:rFonts w:hint="eastAsia" w:ascii="仿宋_GB2312" w:eastAsia="仿宋_GB2312"/>
          <w:color w:val="auto"/>
          <w:sz w:val="32"/>
          <w:szCs w:val="32"/>
          <w:lang w:val="en-US" w:eastAsia="zh-CN"/>
        </w:rPr>
      </w:pPr>
    </w:p>
    <w:p>
      <w:pPr>
        <w:rPr>
          <w:color w:val="auto"/>
          <w:sz w:val="22"/>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ZTc1MDRhYWNhYmU3OTU3OWFlOGYyYjlkZmVhZTUifQ=="/>
  </w:docVars>
  <w:rsids>
    <w:rsidRoot w:val="2B062278"/>
    <w:rsid w:val="02F83041"/>
    <w:rsid w:val="0B9A669F"/>
    <w:rsid w:val="1A39465B"/>
    <w:rsid w:val="1F31407A"/>
    <w:rsid w:val="2B062278"/>
    <w:rsid w:val="5B135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52"/>
      <w:ind w:left="133"/>
    </w:pPr>
    <w:rPr>
      <w:rFonts w:ascii="宋体" w:hAnsi="宋体" w:eastAsia="宋体"/>
      <w:sz w:val="33"/>
      <w:szCs w:val="33"/>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1758</Words>
  <Characters>1789</Characters>
  <Lines>0</Lines>
  <Paragraphs>0</Paragraphs>
  <TotalTime>15</TotalTime>
  <ScaleCrop>false</ScaleCrop>
  <LinksUpToDate>false</LinksUpToDate>
  <CharactersWithSpaces>1877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2022-10-09T07:07:00Z</dcterms:created>
  <dc:creator>小小洁子~</dc:creator>
  <cp:lastModifiedBy>Administrator</cp:lastModifiedBy>
  <dcterms:modified xsi:type="dcterms:W3CDTF">2023-01-31T06:52:10Z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C8F6AE2B56DB4BF4800FA7E821ACA903</vt:lpwstr>
  </property>
</Properties>
</file>